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F312F" w14:textId="77777777" w:rsidR="00232005" w:rsidRDefault="00232005" w:rsidP="00A428F2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 w:val="20"/>
          <w:szCs w:val="20"/>
          <w:lang w:eastAsia="tr-TR"/>
        </w:rPr>
      </w:pPr>
    </w:p>
    <w:p w14:paraId="65FEE5BF" w14:textId="0BD80547" w:rsidR="00923E59" w:rsidRPr="00232005" w:rsidRDefault="00923E59" w:rsidP="00A428F2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 w:val="20"/>
          <w:szCs w:val="20"/>
          <w:lang w:eastAsia="tr-TR"/>
        </w:rPr>
      </w:pPr>
      <w:r w:rsidRPr="00232005">
        <w:rPr>
          <w:rFonts w:ascii="din-light" w:eastAsia="Times New Roman" w:hAnsi="din-light" w:cs="Times New Roman"/>
          <w:b/>
          <w:bCs/>
          <w:color w:val="252525"/>
          <w:sz w:val="20"/>
          <w:szCs w:val="20"/>
          <w:lang w:eastAsia="tr-TR"/>
        </w:rPr>
        <w:t>1. KALİTE POLİTİKAMIZ</w:t>
      </w:r>
    </w:p>
    <w:p w14:paraId="7EC0CFFC" w14:textId="77777777" w:rsidR="009D651A" w:rsidRPr="00232005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</w:t>
      </w:r>
      <w:r w:rsidR="00923E59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ğrenci merkezli eğitim-öğretim anlayışı</w:t>
      </w:r>
      <w:r w:rsidR="008F02E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nı</w:t>
      </w:r>
      <w:r w:rsidR="00923E59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benimseyerek, öğrencinin öğrenmesini desteklemek amacıyla bilimsel </w:t>
      </w:r>
      <w:r w:rsidR="009D651A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ve teknolojik imkânlar sağlama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yı,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bilim ve teknolojideki gelişmeleri yakından takip etme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yi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45F80390" w14:textId="77777777" w:rsidR="009D651A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Eğitim-öğretim süreçlerini </w:t>
      </w:r>
      <w:r w:rsidR="009D651A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ilgili taraf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ların k</w:t>
      </w:r>
      <w:r w:rsidR="009D651A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atılımıyla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sürekli olarak iyileştirme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yi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56AD7F75" w14:textId="77777777" w:rsidR="009D651A" w:rsidRPr="00232005" w:rsidRDefault="009D651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Öğrencilere kaliteli bir</w:t>
      </w:r>
      <w:r w:rsidR="00923E59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eğitim sunma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58FF84AB" w14:textId="77777777" w:rsidR="00324DDC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Öğrencilerin </w:t>
      </w:r>
      <w:proofErr w:type="spellStart"/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sosyo</w:t>
      </w:r>
      <w:proofErr w:type="spellEnd"/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-kültür</w:t>
      </w:r>
      <w:r w:rsidR="009D651A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el becerilerini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artır</w:t>
      </w:r>
      <w:r w:rsidR="009D651A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ma</w:t>
      </w:r>
      <w:r w:rsidR="008F02E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ya yönelik faaliyetler planlama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5D9173CE" w14:textId="77777777" w:rsidR="00324DDC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Açık, adil, şeffaf, hesap verebilen, sorumlu ve etik kurallara uygun bir yönetim tarzı ile hareket etme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yi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30147DF4" w14:textId="77777777" w:rsidR="00324DDC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Kaynakları etkin ve verimli kullanarak, </w:t>
      </w:r>
      <w:r w:rsidR="00324DD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çalışanlar ve ilgili taraflar 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için kalite odaklı </w:t>
      </w:r>
      <w:r w:rsidR="00324DD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bir eğitim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ortamı oluşturma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1D30C47F" w14:textId="77777777" w:rsidR="00324DDC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Çalışanlar ve öğrenciler için her türlü engelleri o</w:t>
      </w:r>
      <w:r w:rsidR="00324DD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rtadan kaldırarak engelsiz bir eğitim ortamı sağlama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72EF0138" w14:textId="77777777" w:rsidR="00324DDC" w:rsidRPr="00232005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Tüm </w:t>
      </w:r>
      <w:r w:rsidR="00324DD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ilgili taraf</w:t>
      </w: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lar ile bilgi paylaşımı 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sağlama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, </w:t>
      </w:r>
    </w:p>
    <w:p w14:paraId="560EAD50" w14:textId="77777777" w:rsidR="00D52211" w:rsidRPr="00232005" w:rsidRDefault="00324DD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D</w:t>
      </w:r>
      <w:r w:rsidR="00923E59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ers dışı etkinliklerle öğrencilerin sosyal gelişimlerine katkı sağlama</w:t>
      </w:r>
      <w:r w:rsidR="0078637C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yı</w:t>
      </w:r>
      <w:r w:rsidR="00D52211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0C1BCC87" w14:textId="77777777" w:rsidR="00D52211" w:rsidRPr="00232005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hAnsi="Times New Roman" w:cs="Times New Roman"/>
          <w:sz w:val="20"/>
          <w:szCs w:val="20"/>
        </w:rPr>
        <w:t>T</w:t>
      </w:r>
      <w:r w:rsidR="009F1F8C" w:rsidRPr="00232005">
        <w:rPr>
          <w:rFonts w:ascii="Times New Roman" w:hAnsi="Times New Roman" w:cs="Times New Roman"/>
          <w:sz w:val="20"/>
          <w:szCs w:val="20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232005">
        <w:rPr>
          <w:rFonts w:ascii="Times New Roman" w:hAnsi="Times New Roman" w:cs="Times New Roman"/>
          <w:sz w:val="20"/>
          <w:szCs w:val="20"/>
        </w:rPr>
        <w:t>yi</w:t>
      </w:r>
      <w:r w:rsidR="009F1F8C" w:rsidRPr="00232005">
        <w:rPr>
          <w:rFonts w:ascii="Times New Roman" w:hAnsi="Times New Roman" w:cs="Times New Roman"/>
          <w:sz w:val="20"/>
          <w:szCs w:val="20"/>
        </w:rPr>
        <w:t>,</w:t>
      </w:r>
    </w:p>
    <w:p w14:paraId="21821131" w14:textId="77777777" w:rsidR="00D52211" w:rsidRPr="00232005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hAnsi="Times New Roman" w:cs="Times New Roman"/>
          <w:sz w:val="20"/>
          <w:szCs w:val="20"/>
        </w:rPr>
        <w:t>Tüm çalışanlar</w:t>
      </w:r>
      <w:r w:rsidR="00D52211" w:rsidRPr="00232005">
        <w:rPr>
          <w:rFonts w:ascii="Times New Roman" w:hAnsi="Times New Roman" w:cs="Times New Roman"/>
          <w:sz w:val="20"/>
          <w:szCs w:val="20"/>
        </w:rPr>
        <w:t>ımızda kalite</w:t>
      </w:r>
      <w:r w:rsidRPr="00232005">
        <w:rPr>
          <w:rFonts w:ascii="Times New Roman" w:hAnsi="Times New Roman" w:cs="Times New Roman"/>
          <w:sz w:val="20"/>
          <w:szCs w:val="20"/>
        </w:rPr>
        <w:t xml:space="preserve"> bilincini tesis etme</w:t>
      </w:r>
      <w:r w:rsidR="0078637C" w:rsidRPr="00232005">
        <w:rPr>
          <w:rFonts w:ascii="Times New Roman" w:hAnsi="Times New Roman" w:cs="Times New Roman"/>
          <w:sz w:val="20"/>
          <w:szCs w:val="20"/>
        </w:rPr>
        <w:t>yi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15DA367B" w14:textId="77777777" w:rsidR="00D52211" w:rsidRPr="00232005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hAnsi="Times New Roman" w:cs="Times New Roman"/>
          <w:sz w:val="20"/>
          <w:szCs w:val="20"/>
        </w:rPr>
        <w:t>Tüm ilgili taraflarımızla</w:t>
      </w:r>
      <w:r w:rsidR="009F1F8C" w:rsidRPr="00232005">
        <w:rPr>
          <w:rFonts w:ascii="Times New Roman" w:hAnsi="Times New Roman" w:cs="Times New Roman"/>
          <w:sz w:val="20"/>
          <w:szCs w:val="20"/>
        </w:rPr>
        <w:t xml:space="preserve"> güvene dayalı işbirliği içinde olma</w:t>
      </w:r>
      <w:r w:rsidR="0078637C" w:rsidRPr="00232005">
        <w:rPr>
          <w:rFonts w:ascii="Times New Roman" w:hAnsi="Times New Roman" w:cs="Times New Roman"/>
          <w:sz w:val="20"/>
          <w:szCs w:val="20"/>
        </w:rPr>
        <w:t>yı</w:t>
      </w:r>
      <w:r w:rsidR="009F1F8C" w:rsidRPr="002320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F68D091" w14:textId="77777777" w:rsidR="00882ED7" w:rsidRPr="00232005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hAnsi="Times New Roman" w:cs="Times New Roman"/>
          <w:sz w:val="20"/>
          <w:szCs w:val="20"/>
        </w:rPr>
        <w:t>İçinde bulunduğumuz topluma ve çe</w:t>
      </w:r>
      <w:r w:rsidR="00D52211" w:rsidRPr="00232005">
        <w:rPr>
          <w:rFonts w:ascii="Times New Roman" w:hAnsi="Times New Roman" w:cs="Times New Roman"/>
          <w:sz w:val="20"/>
          <w:szCs w:val="20"/>
        </w:rPr>
        <w:t>vreye saygılı, örnek bir kurum</w:t>
      </w:r>
      <w:r w:rsidRPr="00232005">
        <w:rPr>
          <w:rFonts w:ascii="Times New Roman" w:hAnsi="Times New Roman" w:cs="Times New Roman"/>
          <w:sz w:val="20"/>
          <w:szCs w:val="20"/>
        </w:rPr>
        <w:t xml:space="preserve"> olma</w:t>
      </w:r>
      <w:r w:rsidR="0078637C" w:rsidRPr="00232005">
        <w:rPr>
          <w:rFonts w:ascii="Times New Roman" w:hAnsi="Times New Roman" w:cs="Times New Roman"/>
          <w:sz w:val="20"/>
          <w:szCs w:val="20"/>
        </w:rPr>
        <w:t>yı</w:t>
      </w:r>
      <w:r w:rsidR="00B0202A" w:rsidRPr="00232005">
        <w:rPr>
          <w:rFonts w:ascii="Times New Roman" w:hAnsi="Times New Roman" w:cs="Times New Roman"/>
          <w:sz w:val="20"/>
          <w:szCs w:val="20"/>
        </w:rPr>
        <w:t>,</w:t>
      </w:r>
    </w:p>
    <w:p w14:paraId="23163A3F" w14:textId="77777777" w:rsidR="00B0202A" w:rsidRPr="00232005" w:rsidRDefault="00B0202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proofErr w:type="spellStart"/>
      <w:r w:rsidRPr="00232005">
        <w:rPr>
          <w:rFonts w:ascii="Times New Roman" w:eastAsia="Calibri" w:hAnsi="Times New Roman" w:cs="Times New Roman"/>
          <w:spacing w:val="-1"/>
          <w:sz w:val="20"/>
          <w:szCs w:val="20"/>
          <w:lang w:val="en-US"/>
        </w:rPr>
        <w:t>Uygulanabilir</w:t>
      </w:r>
      <w:proofErr w:type="spellEnd"/>
      <w:r w:rsidRPr="00232005">
        <w:rPr>
          <w:rFonts w:ascii="Times New Roman" w:hAnsi="Times New Roman" w:cs="Times New Roman"/>
          <w:sz w:val="20"/>
          <w:szCs w:val="20"/>
        </w:rPr>
        <w:t xml:space="preserve"> yasal şartları ve diğer şartları yerine getirmeyi,</w:t>
      </w:r>
    </w:p>
    <w:p w14:paraId="26C54832" w14:textId="77777777" w:rsidR="00B0202A" w:rsidRPr="00232005" w:rsidRDefault="00B0202A" w:rsidP="00B0202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Kalite yönetim sisteminin sürekli iyileştirilmesini,</w:t>
      </w:r>
    </w:p>
    <w:p w14:paraId="4D0EDD87" w14:textId="081CABFA" w:rsidR="00252196" w:rsidRPr="00232005" w:rsidRDefault="00B0202A" w:rsidP="00226C62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Taahhüt </w:t>
      </w:r>
      <w:r w:rsidR="00346594"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ederiz.</w:t>
      </w:r>
    </w:p>
    <w:p w14:paraId="4E556812" w14:textId="3A96E780" w:rsidR="00252196" w:rsidRPr="00232005" w:rsidRDefault="00EE4EB6" w:rsidP="00252196">
      <w:pPr>
        <w:pStyle w:val="ListeParagraf"/>
        <w:shd w:val="clear" w:color="auto" w:fill="FFFFFF"/>
        <w:spacing w:after="12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tr-TR"/>
        </w:rPr>
      </w:pPr>
      <w:r w:rsidRPr="00232005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tr-TR"/>
        </w:rPr>
        <w:t>2</w:t>
      </w:r>
      <w:r w:rsidR="00252196" w:rsidRPr="00232005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tr-TR"/>
        </w:rPr>
        <w:t>. ÇEVRE POLİTİKAMIZ</w:t>
      </w:r>
    </w:p>
    <w:p w14:paraId="3D866730" w14:textId="77777777" w:rsidR="00882ED7" w:rsidRPr="00232005" w:rsidRDefault="00D14A8E" w:rsidP="00252196">
      <w:pPr>
        <w:shd w:val="clear" w:color="auto" w:fill="FFFFFF"/>
        <w:spacing w:after="0" w:line="240" w:lineRule="auto"/>
        <w:ind w:firstLine="708"/>
        <w:jc w:val="both"/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</w:pPr>
      <w:r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>Müdürlüğümüz üst yönetimi faaliyet ve hizmetlerin</w:t>
      </w:r>
      <w:r w:rsidR="00AA5C1F"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>in</w:t>
      </w:r>
      <w:r w:rsidR="00923E59"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 xml:space="preserve"> çevre etkilerine uygun, çevre amaç ve hedeflerinin tespiti ve gözden geçirilmesi için çerçeve görevi ifade eden, bir çevre politikası oluştur</w:t>
      </w:r>
      <w:r w:rsidR="00AA5C1F"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>muştur.</w:t>
      </w:r>
    </w:p>
    <w:p w14:paraId="68315E72" w14:textId="77777777" w:rsidR="00FF7776" w:rsidRPr="00232005" w:rsidRDefault="00AA5C1F" w:rsidP="002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>Müdürlüğümüz</w:t>
      </w:r>
      <w:r w:rsidRPr="00232005">
        <w:rPr>
          <w:rFonts w:ascii="Times New Roman" w:hAnsi="Times New Roman" w:cs="Times New Roman"/>
          <w:sz w:val="20"/>
          <w:szCs w:val="20"/>
        </w:rPr>
        <w:t xml:space="preserve"> </w:t>
      </w:r>
      <w:r w:rsidR="00FF7776" w:rsidRPr="00232005">
        <w:rPr>
          <w:rFonts w:ascii="Times New Roman" w:hAnsi="Times New Roman" w:cs="Times New Roman"/>
          <w:sz w:val="20"/>
          <w:szCs w:val="20"/>
        </w:rPr>
        <w:t>tüm faaliyetlerin</w:t>
      </w:r>
      <w:r w:rsidRPr="00232005">
        <w:rPr>
          <w:rFonts w:ascii="Times New Roman" w:hAnsi="Times New Roman" w:cs="Times New Roman"/>
          <w:sz w:val="20"/>
          <w:szCs w:val="20"/>
        </w:rPr>
        <w:t>de</w:t>
      </w:r>
      <w:r w:rsidR="00FF7776" w:rsidRPr="00232005">
        <w:rPr>
          <w:rFonts w:ascii="Times New Roman" w:hAnsi="Times New Roman" w:cs="Times New Roman"/>
          <w:sz w:val="20"/>
          <w:szCs w:val="20"/>
        </w:rPr>
        <w:t>, çevrenin korunması açısından riskleri</w:t>
      </w:r>
      <w:r w:rsidRPr="00232005">
        <w:rPr>
          <w:rFonts w:ascii="Times New Roman" w:hAnsi="Times New Roman" w:cs="Times New Roman"/>
          <w:sz w:val="20"/>
          <w:szCs w:val="20"/>
        </w:rPr>
        <w:t xml:space="preserve"> göz önünde </w:t>
      </w:r>
      <w:r w:rsidR="00FF7776" w:rsidRPr="00232005">
        <w:rPr>
          <w:rFonts w:ascii="Times New Roman" w:hAnsi="Times New Roman" w:cs="Times New Roman"/>
          <w:sz w:val="20"/>
          <w:szCs w:val="20"/>
        </w:rPr>
        <w:t xml:space="preserve">bulundurarak kabul edilebilir seviyeye indirmek için </w:t>
      </w:r>
      <w:r w:rsidRPr="00232005">
        <w:rPr>
          <w:rFonts w:ascii="Times New Roman" w:hAnsi="Times New Roman" w:cs="Times New Roman"/>
          <w:sz w:val="20"/>
          <w:szCs w:val="20"/>
        </w:rPr>
        <w:t>çalışmaktadır</w:t>
      </w:r>
      <w:r w:rsidR="00FF7776" w:rsidRPr="00232005">
        <w:rPr>
          <w:rFonts w:ascii="Times New Roman" w:hAnsi="Times New Roman" w:cs="Times New Roman"/>
          <w:sz w:val="20"/>
          <w:szCs w:val="20"/>
        </w:rPr>
        <w:t>. Çevrenin korunmasını, kirliliğin azaltılmasını ve enerji verimliliğinin sağlanmasını,</w:t>
      </w:r>
      <w:r w:rsidRPr="00232005">
        <w:rPr>
          <w:rFonts w:ascii="Times New Roman" w:hAnsi="Times New Roman" w:cs="Times New Roman"/>
          <w:sz w:val="20"/>
          <w:szCs w:val="20"/>
        </w:rPr>
        <w:t xml:space="preserve"> </w:t>
      </w:r>
      <w:r w:rsidR="00FF7776" w:rsidRPr="00232005">
        <w:rPr>
          <w:rFonts w:ascii="Times New Roman" w:hAnsi="Times New Roman" w:cs="Times New Roman"/>
          <w:sz w:val="20"/>
          <w:szCs w:val="20"/>
        </w:rPr>
        <w:t>ilgili yasal düzenlemelere uymayı, uygunluk yükümlülüklerinin yerine getirileceğini ve çevre performansının</w:t>
      </w:r>
      <w:r w:rsidRPr="00232005">
        <w:rPr>
          <w:rFonts w:ascii="Times New Roman" w:hAnsi="Times New Roman" w:cs="Times New Roman"/>
          <w:sz w:val="20"/>
          <w:szCs w:val="20"/>
        </w:rPr>
        <w:t xml:space="preserve"> </w:t>
      </w:r>
      <w:r w:rsidR="00FF7776" w:rsidRPr="00232005">
        <w:rPr>
          <w:rFonts w:ascii="Times New Roman" w:hAnsi="Times New Roman" w:cs="Times New Roman"/>
          <w:sz w:val="20"/>
          <w:szCs w:val="20"/>
        </w:rPr>
        <w:t xml:space="preserve">arttırılması için çevre yönetim sisteminin sürekli iyileştirilmesini taahhüt </w:t>
      </w:r>
      <w:r w:rsidRPr="00232005">
        <w:rPr>
          <w:rFonts w:ascii="Times New Roman" w:hAnsi="Times New Roman" w:cs="Times New Roman"/>
          <w:sz w:val="20"/>
          <w:szCs w:val="20"/>
        </w:rPr>
        <w:t>etmektedir.</w:t>
      </w:r>
    </w:p>
    <w:p w14:paraId="49013C97" w14:textId="77777777" w:rsidR="006A08F7" w:rsidRPr="00232005" w:rsidRDefault="00AA5C1F" w:rsidP="002521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din-light" w:eastAsia="Times New Roman" w:hAnsi="din-light" w:cs="Times New Roman"/>
          <w:bCs/>
          <w:color w:val="252525"/>
          <w:sz w:val="20"/>
          <w:szCs w:val="20"/>
          <w:lang w:eastAsia="tr-TR"/>
        </w:rPr>
        <w:t>Müdürlüğümüz</w:t>
      </w:r>
      <w:r w:rsidRPr="00232005">
        <w:rPr>
          <w:rFonts w:ascii="Times New Roman" w:hAnsi="Times New Roman" w:cs="Times New Roman"/>
          <w:sz w:val="20"/>
          <w:szCs w:val="20"/>
        </w:rPr>
        <w:t xml:space="preserve"> </w:t>
      </w:r>
      <w:r w:rsidR="00FF7776" w:rsidRPr="00232005">
        <w:rPr>
          <w:rFonts w:ascii="Times New Roman" w:hAnsi="Times New Roman" w:cs="Times New Roman"/>
          <w:sz w:val="20"/>
          <w:szCs w:val="20"/>
        </w:rPr>
        <w:t>üst yönetimi, belirtilen taahhütlerin yerine getirileceğini, çevr</w:t>
      </w:r>
      <w:r w:rsidRPr="00232005">
        <w:rPr>
          <w:rFonts w:ascii="Times New Roman" w:hAnsi="Times New Roman" w:cs="Times New Roman"/>
          <w:sz w:val="20"/>
          <w:szCs w:val="20"/>
        </w:rPr>
        <w:t xml:space="preserve">e yönetim sistemi için liderlik </w:t>
      </w:r>
      <w:r w:rsidR="00FF7776" w:rsidRPr="00232005">
        <w:rPr>
          <w:rFonts w:ascii="Times New Roman" w:hAnsi="Times New Roman" w:cs="Times New Roman"/>
          <w:sz w:val="20"/>
          <w:szCs w:val="20"/>
        </w:rPr>
        <w:t>edeceğini ve tüm bu süreçlerin güvence altına alınacağını taahhüt eder.</w:t>
      </w:r>
    </w:p>
    <w:p w14:paraId="4F7E4C63" w14:textId="77777777" w:rsidR="003D0A6F" w:rsidRPr="00232005" w:rsidRDefault="003D0A6F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Çevresel kirliliği önlemek amacıyla çevre ile ilgili yasal mevzuat ve şartlara uyma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B456282" w14:textId="77777777" w:rsidR="003D0A6F" w:rsidRPr="00232005" w:rsidRDefault="006A08F7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 xml:space="preserve">Dünyadaki kaynakların sonsuz olmadığı bilinciyle, bunu bir zorunluluk olarak değil geleceğe özenle korunmuş bir çevre bırakma sorumluğu olarak özümseyip gerekli aksiyonları alarak </w:t>
      </w:r>
      <w:r w:rsidR="00346594" w:rsidRPr="00232005">
        <w:rPr>
          <w:rFonts w:ascii="Times New Roman" w:hAnsi="Times New Roman" w:cs="Times New Roman"/>
          <w:sz w:val="20"/>
          <w:szCs w:val="20"/>
        </w:rPr>
        <w:t>f</w:t>
      </w:r>
      <w:r w:rsidRPr="00232005">
        <w:rPr>
          <w:rFonts w:ascii="Times New Roman" w:hAnsi="Times New Roman" w:cs="Times New Roman"/>
          <w:sz w:val="20"/>
          <w:szCs w:val="20"/>
        </w:rPr>
        <w:t>aaliyetleri sırasında oluşan kâğıt, plastik gibi zararlı atıkların geri dönüşümünü sağlama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 xml:space="preserve"> ve bir geri dönüşüm eylem planı oluşturup uygulama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6FE0E852" w14:textId="77777777" w:rsidR="003D0A6F" w:rsidRPr="00232005" w:rsidRDefault="00CD6730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Çevreyi temizlemek yerine kirletmemek düşüncesi ile çevre tahribine neden olan unsurları kontrol altına alma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>, azaltma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 xml:space="preserve"> ve önleme</w:t>
      </w:r>
      <w:r w:rsidR="00346594" w:rsidRPr="00232005">
        <w:rPr>
          <w:rFonts w:ascii="Times New Roman" w:hAnsi="Times New Roman" w:cs="Times New Roman"/>
          <w:sz w:val="20"/>
          <w:szCs w:val="20"/>
        </w:rPr>
        <w:t>yi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223D7C7D" w14:textId="77777777" w:rsidR="00252196" w:rsidRPr="00232005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Çevresel performansımızı sürekli</w:t>
      </w:r>
      <w:r w:rsidR="00252196" w:rsidRPr="00232005">
        <w:rPr>
          <w:rFonts w:ascii="Times New Roman" w:hAnsi="Times New Roman" w:cs="Times New Roman"/>
          <w:sz w:val="20"/>
          <w:szCs w:val="20"/>
        </w:rPr>
        <w:t xml:space="preserve"> iyileştirme</w:t>
      </w:r>
      <w:r w:rsidR="00346594" w:rsidRPr="00232005">
        <w:rPr>
          <w:rFonts w:ascii="Times New Roman" w:hAnsi="Times New Roman" w:cs="Times New Roman"/>
          <w:sz w:val="20"/>
          <w:szCs w:val="20"/>
        </w:rPr>
        <w:t>yi</w:t>
      </w:r>
      <w:r w:rsidR="00252196" w:rsidRPr="00232005">
        <w:rPr>
          <w:rFonts w:ascii="Times New Roman" w:hAnsi="Times New Roman" w:cs="Times New Roman"/>
          <w:sz w:val="20"/>
          <w:szCs w:val="20"/>
        </w:rPr>
        <w:t>, çalışanlarımızın ve ilgili taraflarımızın</w:t>
      </w:r>
      <w:r w:rsidRPr="00232005">
        <w:rPr>
          <w:rFonts w:ascii="Times New Roman" w:hAnsi="Times New Roman" w:cs="Times New Roman"/>
          <w:sz w:val="20"/>
          <w:szCs w:val="20"/>
        </w:rPr>
        <w:t xml:space="preserve"> çevre bilincinin artırılmasına katkıda bulunma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2BDD9410" w14:textId="77777777" w:rsidR="00252196" w:rsidRPr="00232005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Gelişen çevre koruma sistemlerini ve tekniklerini izleyerek, küresel kaynakları etkin kullanma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6E85FCAE" w14:textId="77777777" w:rsidR="00CD6730" w:rsidRPr="00232005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Hurda ve atık oranlarını azaltma</w:t>
      </w:r>
      <w:r w:rsidR="00346594" w:rsidRPr="00232005">
        <w:rPr>
          <w:rFonts w:ascii="Times New Roman" w:hAnsi="Times New Roman" w:cs="Times New Roman"/>
          <w:sz w:val="20"/>
          <w:szCs w:val="20"/>
        </w:rPr>
        <w:t>yı</w:t>
      </w:r>
      <w:r w:rsidRPr="00232005">
        <w:rPr>
          <w:rFonts w:ascii="Times New Roman" w:hAnsi="Times New Roman" w:cs="Times New Roman"/>
          <w:sz w:val="20"/>
          <w:szCs w:val="20"/>
        </w:rPr>
        <w:t xml:space="preserve"> ve bunların değerlendirilmesini takip etme</w:t>
      </w:r>
      <w:r w:rsidR="00346594" w:rsidRPr="00232005">
        <w:rPr>
          <w:rFonts w:ascii="Times New Roman" w:hAnsi="Times New Roman" w:cs="Times New Roman"/>
          <w:sz w:val="20"/>
          <w:szCs w:val="20"/>
        </w:rPr>
        <w:t>yi</w:t>
      </w:r>
      <w:r w:rsidRPr="00232005">
        <w:rPr>
          <w:rFonts w:ascii="Times New Roman" w:hAnsi="Times New Roman" w:cs="Times New Roman"/>
          <w:sz w:val="20"/>
          <w:szCs w:val="20"/>
        </w:rPr>
        <w:t>,</w:t>
      </w:r>
    </w:p>
    <w:p w14:paraId="253B9B5E" w14:textId="77777777" w:rsidR="00346594" w:rsidRPr="00232005" w:rsidRDefault="00346594" w:rsidP="00346594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>Tüm faaliyetlerimizde çevre ile ilgili uygunluk yükümlülüklerine uymayı,</w:t>
      </w:r>
    </w:p>
    <w:p w14:paraId="32C3FC84" w14:textId="1ED85C98" w:rsidR="00A6642B" w:rsidRPr="00232005" w:rsidRDefault="00346594" w:rsidP="00232005">
      <w:pPr>
        <w:pStyle w:val="ListeParagraf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Taahhüt ederiz</w:t>
      </w:r>
    </w:p>
    <w:p w14:paraId="23BB1C90" w14:textId="77777777" w:rsidR="00A6642B" w:rsidRPr="00232005" w:rsidRDefault="00A6642B" w:rsidP="0071376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437429" w14:textId="1056C311" w:rsidR="00F70042" w:rsidRPr="00232005" w:rsidRDefault="00743914" w:rsidP="00E80168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 xml:space="preserve">   </w:t>
      </w:r>
      <w:r w:rsidR="00E80168" w:rsidRPr="00232005">
        <w:rPr>
          <w:rFonts w:ascii="Times New Roman" w:hAnsi="Times New Roman" w:cs="Times New Roman"/>
          <w:sz w:val="20"/>
          <w:szCs w:val="20"/>
        </w:rPr>
        <w:t xml:space="preserve">    </w:t>
      </w:r>
      <w:r w:rsidR="00E17BEF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="00E17BEF">
        <w:rPr>
          <w:rFonts w:ascii="Times New Roman" w:hAnsi="Times New Roman" w:cs="Times New Roman"/>
          <w:sz w:val="20"/>
          <w:szCs w:val="20"/>
        </w:rPr>
        <w:t>Hatice ÖZCAN</w:t>
      </w:r>
    </w:p>
    <w:p w14:paraId="22CC3D69" w14:textId="77777777" w:rsidR="00E80168" w:rsidRPr="00232005" w:rsidRDefault="00581E02" w:rsidP="00E80168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 xml:space="preserve">  </w:t>
      </w:r>
      <w:r w:rsidR="00D14A8E" w:rsidRPr="00232005">
        <w:rPr>
          <w:rFonts w:ascii="Times New Roman" w:hAnsi="Times New Roman" w:cs="Times New Roman"/>
          <w:sz w:val="20"/>
          <w:szCs w:val="20"/>
        </w:rPr>
        <w:t xml:space="preserve">  </w:t>
      </w:r>
      <w:r w:rsidRPr="00232005">
        <w:rPr>
          <w:rFonts w:ascii="Times New Roman" w:hAnsi="Times New Roman" w:cs="Times New Roman"/>
          <w:sz w:val="20"/>
          <w:szCs w:val="20"/>
        </w:rPr>
        <w:t xml:space="preserve">       Okul</w:t>
      </w:r>
      <w:r w:rsidR="00E80168" w:rsidRPr="00232005">
        <w:rPr>
          <w:rFonts w:ascii="Times New Roman" w:hAnsi="Times New Roman" w:cs="Times New Roman"/>
          <w:sz w:val="20"/>
          <w:szCs w:val="20"/>
        </w:rPr>
        <w:t xml:space="preserve"> Müdürü</w:t>
      </w:r>
    </w:p>
    <w:p w14:paraId="105CA9EF" w14:textId="77777777" w:rsidR="00E80168" w:rsidRPr="00232005" w:rsidRDefault="00D14A8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005">
        <w:rPr>
          <w:rFonts w:ascii="Times New Roman" w:hAnsi="Times New Roman" w:cs="Times New Roman"/>
          <w:sz w:val="20"/>
          <w:szCs w:val="20"/>
        </w:rPr>
        <w:t xml:space="preserve"> </w:t>
      </w:r>
      <w:r w:rsidR="00581E02" w:rsidRPr="00232005">
        <w:rPr>
          <w:rFonts w:ascii="Times New Roman" w:hAnsi="Times New Roman" w:cs="Times New Roman"/>
          <w:sz w:val="20"/>
          <w:szCs w:val="20"/>
        </w:rPr>
        <w:t xml:space="preserve">  </w:t>
      </w:r>
      <w:r w:rsidR="00E80168" w:rsidRPr="00232005">
        <w:rPr>
          <w:rFonts w:ascii="Times New Roman" w:hAnsi="Times New Roman" w:cs="Times New Roman"/>
          <w:sz w:val="20"/>
          <w:szCs w:val="20"/>
        </w:rPr>
        <w:t>İşveren</w:t>
      </w:r>
    </w:p>
    <w:sectPr w:rsidR="00E80168" w:rsidRPr="00232005" w:rsidSect="00E07BB6">
      <w:headerReference w:type="default" r:id="rId7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7A56" w14:textId="77777777" w:rsidR="00E54654" w:rsidRDefault="00E54654" w:rsidP="0090185B">
      <w:pPr>
        <w:spacing w:after="0" w:line="240" w:lineRule="auto"/>
      </w:pPr>
      <w:r>
        <w:separator/>
      </w:r>
    </w:p>
  </w:endnote>
  <w:endnote w:type="continuationSeparator" w:id="0">
    <w:p w14:paraId="2A8FD40F" w14:textId="77777777" w:rsidR="00E54654" w:rsidRDefault="00E54654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BD4F" w14:textId="77777777" w:rsidR="00E54654" w:rsidRDefault="00E54654" w:rsidP="0090185B">
      <w:pPr>
        <w:spacing w:after="0" w:line="240" w:lineRule="auto"/>
      </w:pPr>
      <w:r>
        <w:separator/>
      </w:r>
    </w:p>
  </w:footnote>
  <w:footnote w:type="continuationSeparator" w:id="0">
    <w:p w14:paraId="2A09B6CD" w14:textId="77777777" w:rsidR="00E54654" w:rsidRDefault="00E54654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276"/>
      <w:gridCol w:w="992"/>
    </w:tblGrid>
    <w:tr w:rsidR="0090185B" w:rsidRPr="0090185B" w14:paraId="51C185C8" w14:textId="77777777" w:rsidTr="009D74FC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2F73E882" w:rsidR="0090185B" w:rsidRPr="0090185B" w:rsidRDefault="002D4D55" w:rsidP="0090185B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rFonts w:ascii="Bookman Old Style" w:eastAsia="Calibri" w:hAnsi="Bookman Old Style" w:cs="Times New Roman"/>
              <w:b/>
              <w:noProof/>
              <w:sz w:val="48"/>
              <w:lang w:eastAsia="tr-TR"/>
            </w:rPr>
            <w:drawing>
              <wp:inline distT="0" distB="0" distL="0" distR="0" wp14:anchorId="0CAB8CA9" wp14:editId="5548B577">
                <wp:extent cx="901700" cy="102933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ızılay Anaokulu logo çalışması (2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1029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992" w:type="dxa"/>
          <w:vAlign w:val="center"/>
        </w:tcPr>
        <w:p w14:paraId="4FE9A73C" w14:textId="43F87E1C" w:rsidR="0090185B" w:rsidRPr="0090185B" w:rsidRDefault="00102091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K.A.O</w:t>
          </w: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proofErr w:type="gramEnd"/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D.01</w:t>
          </w:r>
        </w:p>
      </w:tc>
    </w:tr>
    <w:tr w:rsidR="00581E02" w:rsidRPr="0090185B" w14:paraId="3802940E" w14:textId="77777777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54AD9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90185B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992" w:type="dxa"/>
          <w:vAlign w:val="center"/>
        </w:tcPr>
        <w:p w14:paraId="3F22E045" w14:textId="77777777" w:rsidR="00581E02" w:rsidRPr="00743914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</w:p>
      </w:tc>
    </w:tr>
    <w:tr w:rsidR="0090185B" w:rsidRPr="0090185B" w14:paraId="60A33599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495D8578" w:rsidR="0090185B" w:rsidRPr="00F54AD9" w:rsidRDefault="002D4D5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NAZİLLİ 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992" w:type="dxa"/>
          <w:vAlign w:val="center"/>
        </w:tcPr>
        <w:p w14:paraId="4A1D49C0" w14:textId="1D27CE32" w:rsidR="0090185B" w:rsidRPr="0090185B" w:rsidRDefault="00102091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10/05/2023</w:t>
          </w:r>
        </w:p>
      </w:tc>
    </w:tr>
    <w:tr w:rsidR="0090185B" w:rsidRPr="0090185B" w14:paraId="0B930C90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4E6A9249" w:rsidR="0090185B" w:rsidRPr="00F54AD9" w:rsidRDefault="002D4D5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ASLI MUSTAFA TAKMAKLI KIZILAY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992" w:type="dxa"/>
          <w:vAlign w:val="center"/>
        </w:tcPr>
        <w:p w14:paraId="103CE7BE" w14:textId="77777777"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90185B" w:rsidRPr="0090185B" w14:paraId="48788E3D" w14:textId="77777777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54AD9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992" w:type="dxa"/>
          <w:vAlign w:val="center"/>
        </w:tcPr>
        <w:p w14:paraId="2A242A53" w14:textId="77777777"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…/…/</w:t>
          </w: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</w:t>
          </w:r>
          <w:proofErr w:type="gramEnd"/>
        </w:p>
      </w:tc>
    </w:tr>
    <w:tr w:rsidR="0090185B" w:rsidRPr="0090185B" w14:paraId="1C63EE59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77777777" w:rsidR="0090185B" w:rsidRPr="00F54AD9" w:rsidRDefault="00885201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ENTEGRE YÖNETİM SİSTEM</w:t>
          </w:r>
          <w:r w:rsidR="00882ED7">
            <w:rPr>
              <w:rFonts w:ascii="Times New Roman" w:eastAsia="Calibri" w:hAnsi="Times New Roman" w:cs="Times New Roman"/>
              <w:b/>
              <w:sz w:val="20"/>
              <w:szCs w:val="28"/>
            </w:rPr>
            <w:t>LER</w:t>
          </w: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POLİTİKASI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992" w:type="dxa"/>
          <w:vAlign w:val="center"/>
        </w:tcPr>
        <w:p w14:paraId="60AB0822" w14:textId="67936C53" w:rsidR="0090185B" w:rsidRPr="00885201" w:rsidRDefault="00102091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767701</w:t>
          </w:r>
        </w:p>
      </w:tc>
    </w:tr>
    <w:tr w:rsidR="0090185B" w:rsidRPr="0090185B" w14:paraId="4BCE1E12" w14:textId="77777777" w:rsidTr="009D74FC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992" w:type="dxa"/>
          <w:vAlign w:val="center"/>
        </w:tcPr>
        <w:p w14:paraId="68457609" w14:textId="4D95D1F1" w:rsidR="0090185B" w:rsidRPr="0090185B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E17BEF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3D6488DB" w14:textId="77777777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16B7D"/>
    <w:rsid w:val="000474B5"/>
    <w:rsid w:val="000979F3"/>
    <w:rsid w:val="000B1FCA"/>
    <w:rsid w:val="00102091"/>
    <w:rsid w:val="0017457E"/>
    <w:rsid w:val="001A04EC"/>
    <w:rsid w:val="001B1F2D"/>
    <w:rsid w:val="001C3826"/>
    <w:rsid w:val="001D2225"/>
    <w:rsid w:val="001D5050"/>
    <w:rsid w:val="001E741C"/>
    <w:rsid w:val="00226C62"/>
    <w:rsid w:val="00232005"/>
    <w:rsid w:val="00252196"/>
    <w:rsid w:val="0025239C"/>
    <w:rsid w:val="002D1D0A"/>
    <w:rsid w:val="002D4D55"/>
    <w:rsid w:val="002E60BD"/>
    <w:rsid w:val="00324DDC"/>
    <w:rsid w:val="00346594"/>
    <w:rsid w:val="0036187C"/>
    <w:rsid w:val="003710AD"/>
    <w:rsid w:val="00371A17"/>
    <w:rsid w:val="003B20A8"/>
    <w:rsid w:val="003B6454"/>
    <w:rsid w:val="003D0A6F"/>
    <w:rsid w:val="003F442F"/>
    <w:rsid w:val="004813B6"/>
    <w:rsid w:val="004D5835"/>
    <w:rsid w:val="004E2C9B"/>
    <w:rsid w:val="00503FA4"/>
    <w:rsid w:val="005140D8"/>
    <w:rsid w:val="00560804"/>
    <w:rsid w:val="00581E02"/>
    <w:rsid w:val="006533E9"/>
    <w:rsid w:val="00675131"/>
    <w:rsid w:val="00675EA0"/>
    <w:rsid w:val="006A08F7"/>
    <w:rsid w:val="006B0191"/>
    <w:rsid w:val="006B30E9"/>
    <w:rsid w:val="006B4572"/>
    <w:rsid w:val="00713766"/>
    <w:rsid w:val="00743914"/>
    <w:rsid w:val="00763247"/>
    <w:rsid w:val="0078637C"/>
    <w:rsid w:val="00882ED7"/>
    <w:rsid w:val="00885201"/>
    <w:rsid w:val="008D20CE"/>
    <w:rsid w:val="008D2551"/>
    <w:rsid w:val="008F02EC"/>
    <w:rsid w:val="0090185B"/>
    <w:rsid w:val="00923E59"/>
    <w:rsid w:val="00994EB9"/>
    <w:rsid w:val="009D651A"/>
    <w:rsid w:val="009D74FC"/>
    <w:rsid w:val="009F1F8C"/>
    <w:rsid w:val="00A17EE6"/>
    <w:rsid w:val="00A35F9F"/>
    <w:rsid w:val="00A428F2"/>
    <w:rsid w:val="00A6385F"/>
    <w:rsid w:val="00A6642B"/>
    <w:rsid w:val="00A854FC"/>
    <w:rsid w:val="00A94328"/>
    <w:rsid w:val="00AA5C1F"/>
    <w:rsid w:val="00AA5C7A"/>
    <w:rsid w:val="00AF0C91"/>
    <w:rsid w:val="00B0202A"/>
    <w:rsid w:val="00C646E2"/>
    <w:rsid w:val="00CD6730"/>
    <w:rsid w:val="00D01C27"/>
    <w:rsid w:val="00D14A8E"/>
    <w:rsid w:val="00D52211"/>
    <w:rsid w:val="00DA7E1B"/>
    <w:rsid w:val="00DB17DC"/>
    <w:rsid w:val="00DE216E"/>
    <w:rsid w:val="00E07BB6"/>
    <w:rsid w:val="00E15DA8"/>
    <w:rsid w:val="00E17BEF"/>
    <w:rsid w:val="00E34ECF"/>
    <w:rsid w:val="00E54654"/>
    <w:rsid w:val="00E62949"/>
    <w:rsid w:val="00E66556"/>
    <w:rsid w:val="00E80168"/>
    <w:rsid w:val="00EE4EB6"/>
    <w:rsid w:val="00F54AD9"/>
    <w:rsid w:val="00F553C2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2018-07-06T12:29:00Z</cp:lastPrinted>
  <dcterms:created xsi:type="dcterms:W3CDTF">2023-05-12T11:32:00Z</dcterms:created>
  <dcterms:modified xsi:type="dcterms:W3CDTF">2023-05-12T11:32:00Z</dcterms:modified>
</cp:coreProperties>
</file>